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510646B" w:rsidP="33CEC137" w:rsidRDefault="4510646B" w14:paraId="26D8D61E" w14:textId="2526BEFB">
      <w:pPr>
        <w:pStyle w:val="Normal"/>
        <w:suppressLineNumbers w:val="0"/>
        <w:bidi w:val="0"/>
        <w:spacing w:before="0" w:beforeAutospacing="off" w:after="160" w:afterAutospacing="off" w:line="256" w:lineRule="auto"/>
        <w:ind w:left="0" w:right="0"/>
        <w:jc w:val="center"/>
      </w:pPr>
      <w:r w:rsidRPr="33CEC137" w:rsidR="451064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r-HR"/>
        </w:rPr>
        <w:t xml:space="preserve">PRIPREMA </w:t>
      </w:r>
      <w:r w:rsidRPr="33CEC137" w:rsidR="5D6A9D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hr-HR"/>
        </w:rPr>
        <w:t>ZA SAT</w:t>
      </w:r>
    </w:p>
    <w:p w:rsidR="33CEC137" w:rsidP="33CEC137" w:rsidRDefault="33CEC137" w14:paraId="149D64BB" w14:textId="2E08D387">
      <w:pPr>
        <w:spacing w:line="25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350"/>
        <w:gridCol w:w="1365"/>
        <w:gridCol w:w="570"/>
        <w:gridCol w:w="1095"/>
        <w:gridCol w:w="270"/>
        <w:gridCol w:w="1830"/>
        <w:gridCol w:w="2535"/>
      </w:tblGrid>
      <w:tr w:rsidR="33CEC137" w:rsidTr="33CEC137" w14:paraId="27A8CC87">
        <w:trPr>
          <w:trHeight w:val="735"/>
        </w:trPr>
        <w:tc>
          <w:tcPr>
            <w:tcW w:w="135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CEC137" w:rsidRDefault="33CEC137" w14:paraId="556C1F20" w14:textId="03547648"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>Predmet:</w:t>
            </w: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 xml:space="preserve"> </w:t>
            </w:r>
          </w:p>
          <w:p w:rsidR="33CEC137" w:rsidP="33CEC137" w:rsidRDefault="33CEC137" w14:paraId="74007499" w14:textId="361DEB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KEMIJA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CEC137" w:rsidP="33CEC137" w:rsidRDefault="33CEC137" w14:paraId="033F3548" w14:textId="19985C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>Razred:</w:t>
            </w: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 xml:space="preserve"> VIII.</w:t>
            </w:r>
          </w:p>
        </w:tc>
        <w:tc>
          <w:tcPr>
            <w:tcW w:w="19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CEC137" w:rsidP="33CEC137" w:rsidRDefault="33CEC137" w14:paraId="4F2B48F3" w14:textId="0501F0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>Br. sati izvedbe:</w:t>
            </w: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 xml:space="preserve"> </w:t>
            </w:r>
          </w:p>
          <w:p w:rsidR="33CEC137" w:rsidP="33CEC137" w:rsidRDefault="33CEC137" w14:paraId="55E03665" w14:textId="15F02E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1 (70. sat)</w:t>
            </w:r>
          </w:p>
        </w:tc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CEC137" w:rsidP="33CEC137" w:rsidRDefault="33CEC137" w14:paraId="58898AC0" w14:textId="6E9394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 xml:space="preserve">Datum: </w:t>
            </w:r>
          </w:p>
          <w:p w:rsidR="33CEC137" w:rsidP="33CEC137" w:rsidRDefault="33CEC137" w14:paraId="39146B11" w14:textId="75B4420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11. lipanj 2026.</w:t>
            </w:r>
          </w:p>
        </w:tc>
        <w:tc>
          <w:tcPr>
            <w:tcW w:w="25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CEC137" w:rsidP="33CEC137" w:rsidRDefault="33CEC137" w14:paraId="3A0A311D" w14:textId="65D81E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>Učitelj/učiteljica:</w:t>
            </w:r>
          </w:p>
          <w:p w:rsidR="33CEC137" w:rsidP="33CEC137" w:rsidRDefault="33CEC137" w14:paraId="74333F23" w14:textId="29302935">
            <w:pPr>
              <w:ind w:firstLine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Tajana Kovačević</w:t>
            </w:r>
          </w:p>
        </w:tc>
      </w:tr>
      <w:tr w:rsidR="33CEC137" w:rsidTr="33CEC137" w14:paraId="529CF5AE">
        <w:trPr>
          <w:trHeight w:val="555"/>
        </w:trPr>
        <w:tc>
          <w:tcPr>
            <w:tcW w:w="438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66"/>
            <w:tcMar>
              <w:left w:w="105" w:type="dxa"/>
              <w:right w:w="105" w:type="dxa"/>
            </w:tcMar>
            <w:vAlign w:val="center"/>
          </w:tcPr>
          <w:p w:rsidR="33CEC137" w:rsidP="33CEC137" w:rsidRDefault="33CEC137" w14:paraId="1071783C" w14:textId="707E089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>Tematska cjelina:</w:t>
            </w: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 xml:space="preserve"> Ugljik omogućuje život na Zemlji</w:t>
            </w:r>
          </w:p>
        </w:tc>
        <w:tc>
          <w:tcPr>
            <w:tcW w:w="463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66"/>
            <w:tcMar>
              <w:left w:w="105" w:type="dxa"/>
              <w:right w:w="105" w:type="dxa"/>
            </w:tcMar>
            <w:vAlign w:val="center"/>
          </w:tcPr>
          <w:p w:rsidR="33CEC137" w:rsidP="33CEC137" w:rsidRDefault="33CEC137" w14:paraId="19D24803" w14:textId="75BB27D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>Tema:</w:t>
            </w: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 xml:space="preserve"> Anorganski i organski spojevi, povijest razvoja kemije, pokus u kemiji (ponavljanje)</w:t>
            </w:r>
          </w:p>
        </w:tc>
      </w:tr>
      <w:tr w:rsidR="33CEC137" w:rsidTr="33CEC137" w14:paraId="00C7A70B">
        <w:trPr>
          <w:trHeight w:val="555"/>
        </w:trPr>
        <w:tc>
          <w:tcPr>
            <w:tcW w:w="328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3CEC137" w:rsidP="33CEC137" w:rsidRDefault="33CEC137" w14:paraId="3B1AB6FF" w14:textId="03F869D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>Koncepti kurikuluma kemije:</w:t>
            </w:r>
          </w:p>
        </w:tc>
        <w:tc>
          <w:tcPr>
            <w:tcW w:w="5730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3CEC137" w:rsidP="33CEC137" w:rsidRDefault="33CEC137" w14:paraId="6A3E2073" w14:textId="7437A7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A. Tvari</w:t>
            </w:r>
          </w:p>
          <w:p w:rsidR="33CEC137" w:rsidP="33CEC137" w:rsidRDefault="33CEC137" w14:paraId="474D0A09" w14:textId="4DED36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D. Prirodoznanstveni pristup</w:t>
            </w:r>
          </w:p>
        </w:tc>
      </w:tr>
      <w:tr w:rsidR="33CEC137" w:rsidTr="33CEC137" w14:paraId="78F7746D">
        <w:trPr>
          <w:trHeight w:val="270"/>
        </w:trPr>
        <w:tc>
          <w:tcPr>
            <w:tcW w:w="9015" w:type="dxa"/>
            <w:gridSpan w:val="7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66"/>
            <w:tcMar>
              <w:left w:w="105" w:type="dxa"/>
              <w:right w:w="105" w:type="dxa"/>
            </w:tcMar>
            <w:vAlign w:val="center"/>
          </w:tcPr>
          <w:p w:rsidR="33CEC137" w:rsidP="33CEC137" w:rsidRDefault="33CEC137" w14:paraId="6F74659C" w14:textId="1D39F2D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>Cilj sata</w:t>
            </w:r>
          </w:p>
        </w:tc>
      </w:tr>
      <w:tr w:rsidR="33CEC137" w:rsidTr="33CEC137" w14:paraId="0D609E1A">
        <w:trPr>
          <w:trHeight w:val="270"/>
        </w:trPr>
        <w:tc>
          <w:tcPr>
            <w:tcW w:w="9015" w:type="dxa"/>
            <w:gridSpan w:val="7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3CEC137" w:rsidP="33CEC137" w:rsidRDefault="33CEC137" w14:paraId="6AE7E9DF" w14:textId="6B0311E9">
            <w:pPr>
              <w:spacing w:before="0" w:beforeAutospacing="off" w:after="0" w:afterAutospacing="off" w:line="240" w:lineRule="auto"/>
              <w:ind w:left="0" w:right="0"/>
              <w:jc w:val="left"/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Integrirati i ponoviti sadržaje kemije obrađene u 7. i 8. razredu kroz edukativnu igru</w:t>
            </w:r>
            <w:r w:rsidRPr="33CEC137" w:rsidR="07B0AD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 xml:space="preserve"> (kviz)</w:t>
            </w: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, s naglaskom na prepoznavanje kemičara, pokusa i molekula prikaza</w:t>
            </w: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nih kalo</w:t>
            </w: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tnim modelima.</w:t>
            </w:r>
          </w:p>
          <w:p w:rsidR="33CEC137" w:rsidP="33CEC137" w:rsidRDefault="33CEC137" w14:paraId="1522ED8B" w14:textId="553B9B2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</w:pPr>
          </w:p>
        </w:tc>
      </w:tr>
      <w:tr w:rsidR="33CEC137" w:rsidTr="33CEC137" w14:paraId="656C7862">
        <w:trPr>
          <w:trHeight w:val="270"/>
        </w:trPr>
        <w:tc>
          <w:tcPr>
            <w:tcW w:w="9015" w:type="dxa"/>
            <w:gridSpan w:val="7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66"/>
            <w:tcMar>
              <w:left w:w="105" w:type="dxa"/>
              <w:right w:w="105" w:type="dxa"/>
            </w:tcMar>
            <w:vAlign w:val="center"/>
          </w:tcPr>
          <w:p w:rsidR="33CEC137" w:rsidP="33CEC137" w:rsidRDefault="33CEC137" w14:paraId="18138D1E" w14:textId="3839C5C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>Odgojno-obrazovni ishodi</w:t>
            </w:r>
          </w:p>
        </w:tc>
      </w:tr>
      <w:tr w:rsidR="33CEC137" w:rsidTr="33CEC137" w14:paraId="7791C857">
        <w:trPr>
          <w:trHeight w:val="300"/>
        </w:trPr>
        <w:tc>
          <w:tcPr>
            <w:tcW w:w="9015" w:type="dxa"/>
            <w:gridSpan w:val="7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CEC137" w:rsidP="33CEC137" w:rsidRDefault="33CEC137" w14:paraId="1CC07BEF" w14:textId="10766A69">
            <w:pPr>
              <w:shd w:val="clear" w:color="auto" w:fill="FFFFFF" w:themeFill="background1"/>
              <w:spacing w:before="0" w:before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31F20"/>
                <w:sz w:val="22"/>
                <w:szCs w:val="22"/>
                <w:lang w:val="hr-HR"/>
              </w:rPr>
            </w:pPr>
          </w:p>
          <w:p w:rsidR="33CEC137" w:rsidP="33CEC137" w:rsidRDefault="33CEC137" w14:paraId="529E9DB1" w14:textId="23493F5D">
            <w:pPr>
              <w:shd w:val="clear" w:color="auto" w:fill="FFFFFF" w:themeFill="background1"/>
              <w:spacing w:before="0" w:beforeAutospacing="off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31F20"/>
                <w:sz w:val="22"/>
                <w:szCs w:val="22"/>
                <w:lang w:val="hr-HR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231F20"/>
                <w:sz w:val="22"/>
                <w:szCs w:val="22"/>
                <w:u w:val="none"/>
                <w:lang w:val="hr-HR"/>
              </w:rPr>
              <w:t>KEM OŠ A.8.1. Primjenjuje kemijsko nazivlje i simboliku za opisivanje sastava tvari.</w:t>
            </w:r>
          </w:p>
          <w:p w:rsidR="33CEC137" w:rsidP="33CEC137" w:rsidRDefault="33CEC137" w14:paraId="760ED7FC" w14:textId="41935E04">
            <w:pPr>
              <w:spacing w:before="1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KEM OŠ D.8.1. Povezuje rezultate i zaključke istraživanja s konceptualnim spoznajama.</w:t>
            </w:r>
          </w:p>
          <w:p w:rsidR="33CEC137" w:rsidP="33CEC137" w:rsidRDefault="33CEC137" w14:paraId="455A4714" w14:textId="5BC4A541">
            <w:pPr>
              <w:spacing w:before="1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3CEC137" w:rsidTr="33CEC137" w14:paraId="13380901">
        <w:trPr>
          <w:trHeight w:val="270"/>
        </w:trPr>
        <w:tc>
          <w:tcPr>
            <w:tcW w:w="9015" w:type="dxa"/>
            <w:gridSpan w:val="7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66"/>
            <w:tcMar>
              <w:left w:w="105" w:type="dxa"/>
              <w:right w:w="105" w:type="dxa"/>
            </w:tcMar>
            <w:vAlign w:val="center"/>
          </w:tcPr>
          <w:p w:rsidR="33CEC137" w:rsidP="33CEC137" w:rsidRDefault="33CEC137" w14:paraId="78AC4AD4" w14:textId="45754CB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>Razrada ishoda (R.I.)</w:t>
            </w:r>
          </w:p>
        </w:tc>
      </w:tr>
      <w:tr w:rsidR="33CEC137" w:rsidTr="33CEC137" w14:paraId="48602D69">
        <w:trPr>
          <w:trHeight w:val="1125"/>
        </w:trPr>
        <w:tc>
          <w:tcPr>
            <w:tcW w:w="9015" w:type="dxa"/>
            <w:gridSpan w:val="7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3CEC137" w:rsidP="33CEC137" w:rsidRDefault="33CEC137" w14:paraId="791FB0DB" w14:textId="763B9466">
            <w:pPr>
              <w:tabs>
                <w:tab w:val="left" w:leader="none" w:pos="3564"/>
              </w:tabs>
              <w:spacing/>
              <w:contextualSpacing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31F2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 xml:space="preserve">R.I.1. </w:t>
            </w: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231F20"/>
                <w:sz w:val="22"/>
                <w:szCs w:val="22"/>
                <w:lang w:val="hr-HR"/>
              </w:rPr>
              <w:t>Imenuje anorganske spojeve i organske spojeve prikazane kemijskim formulama ili modelima.</w:t>
            </w:r>
          </w:p>
          <w:p w:rsidR="33CEC137" w:rsidP="33CEC137" w:rsidRDefault="33CEC137" w14:paraId="7D56A971" w14:textId="0C3F9D55">
            <w:pPr>
              <w:tabs>
                <w:tab w:val="left" w:leader="none" w:pos="3564"/>
              </w:tabs>
              <w:spacing/>
              <w:contextualSpacing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R.I.2. Povezuje nastavne sadržaje na konceptualnoj razini.</w:t>
            </w:r>
          </w:p>
          <w:p w:rsidR="33CEC137" w:rsidP="33CEC137" w:rsidRDefault="33CEC137" w14:paraId="5E37D61C" w14:textId="21DA56CD">
            <w:pPr>
              <w:tabs>
                <w:tab w:val="left" w:leader="none" w:pos="3564"/>
              </w:tabs>
              <w:spacing/>
              <w:contextualSpacing w:val="1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3CEC137" w:rsidTr="33CEC137" w14:paraId="55F9AA41">
        <w:trPr>
          <w:trHeight w:val="270"/>
        </w:trPr>
        <w:tc>
          <w:tcPr>
            <w:tcW w:w="9015" w:type="dxa"/>
            <w:gridSpan w:val="7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66"/>
            <w:tcMar>
              <w:left w:w="105" w:type="dxa"/>
              <w:right w:w="105" w:type="dxa"/>
            </w:tcMar>
            <w:vAlign w:val="center"/>
          </w:tcPr>
          <w:p w:rsidR="33CEC137" w:rsidP="33CEC137" w:rsidRDefault="33CEC137" w14:paraId="36CB0E05" w14:textId="6FB97CE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>Odgojno-obrazovna očekivanja međupredmetnih tema</w:t>
            </w:r>
          </w:p>
        </w:tc>
      </w:tr>
      <w:tr w:rsidR="33CEC137" w:rsidTr="33CEC137" w14:paraId="47B82074">
        <w:trPr>
          <w:trHeight w:val="1785"/>
        </w:trPr>
        <w:tc>
          <w:tcPr>
            <w:tcW w:w="9015" w:type="dxa"/>
            <w:gridSpan w:val="7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3CEC137" w:rsidP="33CEC137" w:rsidRDefault="33CEC137" w14:paraId="58375397" w14:textId="02EFEED8">
            <w:pPr>
              <w:spacing w:before="120" w:after="1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UKU A 3.2. Učenik se koristi različitim strategijama učenja i samostalno ih primjenjuje u ostvarivanju ciljeva učenja i rješavanju problema u svim područjima učenja.</w:t>
            </w:r>
          </w:p>
          <w:p w:rsidR="33CEC137" w:rsidP="33CEC137" w:rsidRDefault="33CEC137" w14:paraId="0F7E6022" w14:textId="22D5B51C">
            <w:pPr>
              <w:spacing w:before="120" w:after="1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OSR B.3.2. Učenik razvija komunikacijske kompetencije i uvažavajuće odnose s drugima.</w:t>
            </w:r>
          </w:p>
        </w:tc>
      </w:tr>
      <w:tr w:rsidR="33CEC137" w:rsidTr="33CEC137" w14:paraId="54A72F3E">
        <w:trPr>
          <w:trHeight w:val="270"/>
        </w:trPr>
        <w:tc>
          <w:tcPr>
            <w:tcW w:w="9015" w:type="dxa"/>
            <w:gridSpan w:val="7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66"/>
            <w:tcMar>
              <w:left w:w="105" w:type="dxa"/>
              <w:right w:w="105" w:type="dxa"/>
            </w:tcMar>
            <w:vAlign w:val="center"/>
          </w:tcPr>
          <w:p w:rsidR="33CEC137" w:rsidP="33CEC137" w:rsidRDefault="33CEC137" w14:paraId="0504605E" w14:textId="128ACD6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hr-HR"/>
              </w:rPr>
              <w:t>Povezanost s nastavnim predmetima</w:t>
            </w:r>
          </w:p>
        </w:tc>
      </w:tr>
      <w:tr w:rsidR="33CEC137" w:rsidTr="33CEC137" w14:paraId="2A3C9CC7">
        <w:trPr>
          <w:trHeight w:val="1800"/>
        </w:trPr>
        <w:tc>
          <w:tcPr>
            <w:tcW w:w="9015" w:type="dxa"/>
            <w:gridSpan w:val="7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3CEC137" w:rsidP="33CEC137" w:rsidRDefault="33CEC137" w14:paraId="23821D64" w14:textId="4F7120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HJ A.7.1. Učenik govori prema planu i razgovara primjenjujući vještine razgovora u skupini.</w:t>
            </w:r>
          </w:p>
          <w:p w:rsidR="33CEC137" w:rsidP="33CEC137" w:rsidRDefault="33CEC137" w14:paraId="0969F492" w14:textId="26D6EA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HJ A.7.3. Učenik čita tekst, izvodi zaključke i tumači značenje teksta.</w:t>
            </w:r>
          </w:p>
          <w:p w:rsidR="33CEC137" w:rsidP="33CEC137" w:rsidRDefault="33CEC137" w14:paraId="56714252" w14:textId="68F790D9">
            <w:pPr>
              <w:shd w:val="clear" w:color="auto" w:fill="FFFFFF" w:themeFill="background1"/>
              <w:spacing w:after="48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3CEC137" w:rsidR="33CEC13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hr-HR"/>
              </w:rPr>
              <w:t>PRI D.6.1. Učenik tumači uočene pojave, procese i međuodnose na temelju opažanja prirode i jednostavnih istraživanja.</w:t>
            </w:r>
          </w:p>
        </w:tc>
      </w:tr>
    </w:tbl>
    <w:p w:rsidR="33CEC137" w:rsidP="33CEC137" w:rsidRDefault="33CEC137" w14:paraId="790F39A2" w14:textId="2F90751D">
      <w:pPr>
        <w:pStyle w:val="Normal"/>
      </w:pPr>
    </w:p>
    <w:p w:rsidR="6902B5E8" w:rsidP="33CEC137" w:rsidRDefault="6902B5E8" w14:paraId="5EB90859" w14:textId="2881509D">
      <w:pPr>
        <w:pStyle w:val="Normal"/>
        <w:rPr>
          <w:u w:val="single"/>
        </w:rPr>
      </w:pPr>
      <w:r w:rsidRPr="33CEC137" w:rsidR="6902B5E8">
        <w:rPr>
          <w:u w:val="single"/>
        </w:rPr>
        <w:t>Kratki opis aktivnosti:</w:t>
      </w:r>
    </w:p>
    <w:p w:rsidR="6902B5E8" w:rsidP="33CEC137" w:rsidRDefault="6902B5E8" w14:paraId="3561952F" w14:textId="30DE07A7">
      <w:pPr>
        <w:pStyle w:val="Normal"/>
      </w:pPr>
      <w:r w:rsidR="6902B5E8">
        <w:rPr/>
        <w:t xml:space="preserve">UVODNI DIO: Učenici dobiju upute o pravilima igre (kviza). Kviz ima 4 kruga, a za svaku skupinu pripremljeno je po jedno pitanje. </w:t>
      </w:r>
      <w:r w:rsidR="71E244C8">
        <w:rPr/>
        <w:t xml:space="preserve">Učenici se dijele u 4 skupine. </w:t>
      </w:r>
    </w:p>
    <w:p w:rsidR="71E244C8" w:rsidP="33CEC137" w:rsidRDefault="71E244C8" w14:paraId="231CB3E1" w14:textId="5A089173">
      <w:pPr>
        <w:pStyle w:val="Normal"/>
      </w:pPr>
      <w:r w:rsidR="71E244C8">
        <w:rPr/>
        <w:t>Dozvoljena je tiha komunikacija unutar skupine. Za svako postavljeno pitanje učenici imaju 30 sekundi za odgovor. Ukoliko krivo</w:t>
      </w:r>
      <w:r w:rsidR="71DB61BD">
        <w:rPr/>
        <w:t xml:space="preserve"> odgovore, sljedeća skupina može ponuditi </w:t>
      </w:r>
      <w:r w:rsidR="71DB61BD">
        <w:rPr/>
        <w:t xml:space="preserve">odgovor na njihovo pitanje. Svaki točan odgovor nosi 1 bod. </w:t>
      </w:r>
      <w:r w:rsidR="60906259">
        <w:rPr/>
        <w:t xml:space="preserve">U slučaju nepoštivanja pravila ili neprimjerenog ponašanja i komunikacije, ekipa se diskvalificira. </w:t>
      </w:r>
    </w:p>
    <w:p w:rsidR="71DB61BD" w:rsidP="33CEC137" w:rsidRDefault="71DB61BD" w14:paraId="171AA717" w14:textId="118CFE99">
      <w:pPr>
        <w:pStyle w:val="Normal"/>
      </w:pPr>
      <w:r w:rsidR="71DB61BD">
        <w:rPr/>
        <w:t xml:space="preserve">Na kraju igre, bodovi se zbrajaju i proglašava pobjednik kviza koji </w:t>
      </w:r>
      <w:r w:rsidR="4B210A70">
        <w:rPr/>
        <w:t>odnosi nagradu.</w:t>
      </w:r>
    </w:p>
    <w:p w:rsidR="4B210A70" w:rsidP="33CEC137" w:rsidRDefault="4B210A70" w14:paraId="4F8521EC" w14:textId="4AAA0819">
      <w:pPr>
        <w:pStyle w:val="Normal"/>
      </w:pPr>
      <w:r w:rsidR="4B210A70">
        <w:rPr/>
        <w:t>GLAVNI DIO: Igranje igre, odnosno odgovaranje na pitanja.</w:t>
      </w:r>
      <w:r w:rsidR="1AE0A5C0">
        <w:rPr/>
        <w:t xml:space="preserve"> Važno je držati se dogovorenih pravila te učenike poticati na primjerenu komunikaciju i uvažavanje </w:t>
      </w:r>
      <w:r w:rsidR="48632363">
        <w:rPr/>
        <w:t>tuđih mišljenja i stavova.</w:t>
      </w:r>
    </w:p>
    <w:p w:rsidR="4B210A70" w:rsidP="33CEC137" w:rsidRDefault="4B210A70" w14:paraId="62945438" w14:textId="44E11D82">
      <w:pPr>
        <w:pStyle w:val="Normal"/>
      </w:pPr>
      <w:r w:rsidR="4B210A70">
        <w:rPr/>
        <w:t>ZAVRŠNI DIO: Zbrajanje bodova i proglašenje pobjednika.</w:t>
      </w:r>
    </w:p>
    <w:p w:rsidR="33CEC137" w:rsidRDefault="33CEC137" w14:paraId="44D72C0E" w14:textId="085D719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FF9AA"/>
    <w:rsid w:val="07B0AD05"/>
    <w:rsid w:val="0F33A799"/>
    <w:rsid w:val="1AE0A5C0"/>
    <w:rsid w:val="1EE5F08D"/>
    <w:rsid w:val="33CEC137"/>
    <w:rsid w:val="3EE1BABF"/>
    <w:rsid w:val="4510646B"/>
    <w:rsid w:val="48632363"/>
    <w:rsid w:val="4A8B10B9"/>
    <w:rsid w:val="4B210A70"/>
    <w:rsid w:val="4D1CBA6F"/>
    <w:rsid w:val="4D1CBA6F"/>
    <w:rsid w:val="4E7FF9AA"/>
    <w:rsid w:val="5D6A9D1D"/>
    <w:rsid w:val="60375D8C"/>
    <w:rsid w:val="60906259"/>
    <w:rsid w:val="61A62AB2"/>
    <w:rsid w:val="62299EE9"/>
    <w:rsid w:val="64754A7A"/>
    <w:rsid w:val="6902B5E8"/>
    <w:rsid w:val="704DD9F2"/>
    <w:rsid w:val="71DB61BD"/>
    <w:rsid w:val="71E244C8"/>
    <w:rsid w:val="75551ED6"/>
    <w:rsid w:val="75551ED6"/>
    <w:rsid w:val="76E5EC0B"/>
    <w:rsid w:val="7752C75D"/>
    <w:rsid w:val="7D233CEC"/>
    <w:rsid w:val="7D23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C81F"/>
  <w15:chartTrackingRefBased/>
  <w15:docId w15:val="{9EF80EF5-A8C6-46A4-901F-32270B1987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2026-06-22T16:44:47.9770612Z</dcterms:created>
  <dcterms:modified xsi:type="dcterms:W3CDTF">2026-06-22T16:54:55.1441014Z</dcterms:modified>
  <dc:creator>Tajana Kovačević</dc:creator>
  <lastModifiedBy>Tajana Kovačević</lastModifiedBy>
</coreProperties>
</file>